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outlineLvl w:val="1"/>
        <w:rPr>
          <w:rFonts w:hint="eastAsia" w:ascii="黑体" w:hAnsi="黑体" w:eastAsia="黑体" w:cs="黑体"/>
          <w:b w:val="0"/>
          <w:bCs w:val="0"/>
          <w:sz w:val="18"/>
          <w:szCs w:val="18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18"/>
          <w:szCs w:val="1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18"/>
          <w:szCs w:val="18"/>
          <w:lang w:val="en-US" w:eastAsia="zh-CN"/>
        </w:rPr>
        <w:t>4：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监理项目中标后跟踪监督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检查表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）</w:t>
      </w:r>
    </w:p>
    <w:p>
      <w:pPr>
        <w:rPr>
          <w:rFonts w:hint="eastAsia"/>
          <w:lang w:eastAsia="zh-CN"/>
        </w:rPr>
      </w:pPr>
    </w:p>
    <w:p>
      <w:pPr>
        <w:ind w:left="-8" w:leftChars="0" w:firstLine="7" w:firstLineChars="0"/>
        <w:jc w:val="left"/>
        <w:rPr>
          <w:rFonts w:hint="eastAsia" w:ascii="黑体" w:hAnsi="黑体" w:eastAsia="黑体" w:cs="黑体"/>
          <w:b w:val="0"/>
          <w:bCs w:val="0"/>
          <w:sz w:val="18"/>
          <w:szCs w:val="18"/>
        </w:rPr>
      </w:pPr>
      <w:r>
        <w:rPr>
          <w:rFonts w:hint="eastAsia" w:ascii="黑体" w:hAnsi="黑体" w:eastAsia="黑体" w:cs="黑体"/>
          <w:b w:val="0"/>
          <w:bCs w:val="0"/>
          <w:sz w:val="18"/>
          <w:szCs w:val="18"/>
        </w:rPr>
        <w:t>项目名称：                   招标人：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</w:rPr>
        <w:t xml:space="preserve">                  </w:t>
      </w:r>
      <w:r>
        <w:rPr>
          <w:rFonts w:hint="eastAsia" w:ascii="黑体" w:hAnsi="黑体" w:eastAsia="黑体" w:cs="黑体"/>
          <w:b w:val="0"/>
          <w:bCs w:val="0"/>
          <w:sz w:val="18"/>
          <w:szCs w:val="18"/>
        </w:rPr>
        <w:t xml:space="preserve"> 中标人：                   </w:t>
      </w:r>
      <w:r>
        <w:rPr>
          <w:rFonts w:hint="eastAsia" w:ascii="黑体" w:hAnsi="黑体" w:eastAsia="黑体" w:cs="黑体"/>
          <w:b w:val="0"/>
          <w:bCs w:val="0"/>
          <w:sz w:val="18"/>
          <w:szCs w:val="18"/>
          <w:lang w:eastAsia="zh-CN"/>
        </w:rPr>
        <w:t>检查得分：</w:t>
      </w:r>
      <w:r>
        <w:rPr>
          <w:rFonts w:hint="eastAsia" w:ascii="宋体" w:hAnsi="宋体" w:eastAsia="宋体" w:cs="仿宋"/>
          <w:sz w:val="18"/>
          <w:szCs w:val="18"/>
        </w:rPr>
        <w:t>[       ]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59"/>
        <w:gridCol w:w="580"/>
        <w:gridCol w:w="3470"/>
        <w:gridCol w:w="3620"/>
        <w:gridCol w:w="3253"/>
        <w:gridCol w:w="1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序号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检查内容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招标文件要求</w:t>
            </w:r>
          </w:p>
        </w:tc>
        <w:tc>
          <w:tcPr>
            <w:tcW w:w="3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检查说明</w:t>
            </w:r>
          </w:p>
        </w:tc>
        <w:tc>
          <w:tcPr>
            <w:tcW w:w="32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检查情况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分项得分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spacing w:line="240" w:lineRule="auto"/>
              <w:jc w:val="distribut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一</w:t>
            </w:r>
          </w:p>
        </w:tc>
        <w:tc>
          <w:tcPr>
            <w:tcW w:w="1159" w:type="dxa"/>
            <w:vMerge w:val="restart"/>
            <w:noWrap w:val="0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履约担保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470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担保金额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中标价格的[   ]%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担保方式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银行保函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现金（银行转账）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其它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】。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提交时间：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《中标通知书》发出之后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[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]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天内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362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检查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银行保函、转账记录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金额或者方式与招标文件规定不符的每项扣减5分，提交时间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延迟的每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天扣减0.5分，扣完为止。</w:t>
            </w:r>
          </w:p>
        </w:tc>
        <w:tc>
          <w:tcPr>
            <w:tcW w:w="3253" w:type="dxa"/>
            <w:noWrap w:val="0"/>
            <w:vAlign w:val="top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金额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】提交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方式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】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提交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时间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】。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不符情形说明：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240" w:lineRule="auto"/>
              <w:jc w:val="distribut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二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合同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签订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347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《中标通知书》发出之后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[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]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天内签订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合同。</w:t>
            </w:r>
          </w:p>
        </w:tc>
        <w:tc>
          <w:tcPr>
            <w:tcW w:w="362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对照招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、投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标文件检查监理合同签订日期，延迟的每天扣减0.5分扣完为止。</w:t>
            </w:r>
          </w:p>
        </w:tc>
        <w:tc>
          <w:tcPr>
            <w:tcW w:w="325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签订日期【 】。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不符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情形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说明：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240" w:lineRule="auto"/>
              <w:jc w:val="distribut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三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合同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补充协议</w:t>
            </w:r>
          </w:p>
          <w:p>
            <w:pPr>
              <w:jc w:val="distribut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内容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347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合同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监理费：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[            ]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万元。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合同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工期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[     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]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监理容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:[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]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工程质量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：合格【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】创优【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】。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安全生产文明施工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：合格【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】创优【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】。</w:t>
            </w:r>
          </w:p>
        </w:tc>
        <w:tc>
          <w:tcPr>
            <w:tcW w:w="362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对照招、投标文件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及合同，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检查监理合同及补充协议内容，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实质性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条款与招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投标文件不符的每项扣减5分，扣完为止</w:t>
            </w:r>
          </w:p>
        </w:tc>
        <w:tc>
          <w:tcPr>
            <w:tcW w:w="325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合同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费用【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工期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；人员及组织机构【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工程质量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安全生产文明施工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】。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进度款支付方式【】结算原则【】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不符情形说明：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</w:tc>
      </w:tr>
    </w:tbl>
    <w:p>
      <w:pPr>
        <w:pStyle w:val="4"/>
        <w:snapToGrid w:val="0"/>
        <w:spacing w:beforeLines="50" w:afterLines="20" w:line="240" w:lineRule="auto"/>
        <w:ind w:firstLine="3360" w:firstLineChars="1600"/>
        <w:jc w:val="center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</w:p>
    <w:p>
      <w:pPr>
        <w:pStyle w:val="4"/>
        <w:snapToGrid w:val="0"/>
        <w:spacing w:beforeLines="50" w:afterLines="20" w:line="240" w:lineRule="auto"/>
        <w:ind w:firstLine="4800" w:firstLineChars="2000"/>
        <w:jc w:val="left"/>
        <w:rPr>
          <w:rFonts w:hint="eastAsia" w:ascii="黑体" w:hAnsi="黑体" w:eastAsia="黑体" w:cs="黑体"/>
          <w:b w:val="0"/>
          <w:bCs w:val="0"/>
          <w:sz w:val="18"/>
          <w:szCs w:val="18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监理项目中标后跟踪监督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检查表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18"/>
          <w:szCs w:val="18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sz w:val="18"/>
          <w:szCs w:val="18"/>
          <w:lang w:eastAsia="zh-CN"/>
        </w:rPr>
        <w:t>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60"/>
        <w:gridCol w:w="560"/>
        <w:gridCol w:w="3460"/>
        <w:gridCol w:w="3650"/>
        <w:gridCol w:w="3252"/>
        <w:gridCol w:w="1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序号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检查内容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分值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合同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要求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检查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说明</w:t>
            </w:r>
          </w:p>
        </w:tc>
        <w:tc>
          <w:tcPr>
            <w:tcW w:w="325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检查情况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分项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spacing w:line="240" w:lineRule="auto"/>
              <w:jc w:val="distribut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四</w:t>
            </w:r>
          </w:p>
        </w:tc>
        <w:tc>
          <w:tcPr>
            <w:tcW w:w="1160" w:type="dxa"/>
            <w:vMerge w:val="restart"/>
            <w:noWrap w:val="0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进度管理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3460" w:type="dxa"/>
            <w:noWrap w:val="0"/>
            <w:vAlign w:val="top"/>
          </w:tcPr>
          <w:p>
            <w:pPr>
              <w:pStyle w:val="7"/>
              <w:spacing w:before="0" w:beforeAutospacing="0" w:after="0" w:afterAutospacing="0"/>
              <w:rPr>
                <w:rFonts w:hint="eastAsia" w:ascii="宋体" w:hAnsi="宋体" w:eastAsia="宋体" w:cs="宋体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eastAsia="zh-CN"/>
              </w:rPr>
              <w:t>前期计划：</w:t>
            </w:r>
          </w:p>
          <w:p>
            <w:pPr>
              <w:pStyle w:val="7"/>
              <w:spacing w:before="0" w:beforeAutospacing="0" w:after="0" w:afterAutospacing="0"/>
              <w:rPr>
                <w:rFonts w:hint="eastAsia" w:ascii="宋体" w:hAnsi="宋体" w:eastAsia="宋体" w:cs="宋体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eastAsia="zh-CN"/>
              </w:rPr>
              <w:t>施工工期：</w:t>
            </w:r>
          </w:p>
          <w:p>
            <w:pPr>
              <w:pStyle w:val="7"/>
              <w:spacing w:before="0" w:beforeAutospacing="0" w:after="0" w:afterAutospacing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eastAsia="zh-CN"/>
              </w:rPr>
              <w:t>按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施工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eastAsia="zh-CN"/>
              </w:rPr>
              <w:t>进度计划：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</w:t>
            </w:r>
          </w:p>
        </w:tc>
        <w:tc>
          <w:tcPr>
            <w:tcW w:w="3650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主要项目管理人员没到位扣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5分；人员到位率或是变更手续不符合合同约定扣5分；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前期工作实际完成时间与计划不符扣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5分；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对照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施工合同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检查施工计划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和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工程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进度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工程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进度与计划不符的扣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。</w:t>
            </w:r>
          </w:p>
        </w:tc>
        <w:tc>
          <w:tcPr>
            <w:tcW w:w="325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项目管理人员到位【】；项目管理人员变更【】；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前期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完成时间【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】；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施工计划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工程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进度【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】。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不符情形说明：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240" w:lineRule="auto"/>
              <w:jc w:val="distribut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五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质量管理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346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标准：执行国家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广东省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珠海市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现行验收评审标准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目标：争创国家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省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珠海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市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优良样板工程。</w:t>
            </w:r>
          </w:p>
        </w:tc>
        <w:tc>
          <w:tcPr>
            <w:tcW w:w="365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查询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相关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部门发出的文件，被责令改正的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每项扣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减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5分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设备、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材料进场存在不符合合同要求的情形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每项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扣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10分；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发生质量事故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被通报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的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扣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减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eastAsia="zh-CN"/>
              </w:rPr>
              <w:t>本项分值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扣完为止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325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责令改正【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】质量事故【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】。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不符情形说明：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240" w:lineRule="auto"/>
              <w:jc w:val="distribut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六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安全管理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15</w:t>
            </w:r>
          </w:p>
        </w:tc>
        <w:tc>
          <w:tcPr>
            <w:tcW w:w="346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标准：执行国家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广东省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珠海市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现行验收评审标准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。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目标：争创国家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省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珠海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市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</w:rPr>
              <w:t>安全生产文明施工样板工地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。</w:t>
            </w:r>
          </w:p>
        </w:tc>
        <w:tc>
          <w:tcPr>
            <w:tcW w:w="3650" w:type="dxa"/>
            <w:noWrap w:val="0"/>
            <w:vAlign w:val="top"/>
          </w:tcPr>
          <w:p>
            <w:pPr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查询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相关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部门发出的文件，发生被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相关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部门责令改正的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每项扣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减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分，发生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安全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事故的扣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减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扣完为止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。</w:t>
            </w:r>
          </w:p>
        </w:tc>
        <w:tc>
          <w:tcPr>
            <w:tcW w:w="325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责令改正【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】安全事故【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】。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不符情形说明：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七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负面评价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jc w:val="both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标准：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招标文件、投标文件及合同的实质条款以及相关法律法规、管理制度的规定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根据《监理项目基本情况表》中招标人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对中标人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实际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履约行为所作的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负面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评价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每条负面评价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扣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扣完为止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。</w:t>
            </w:r>
          </w:p>
        </w:tc>
        <w:tc>
          <w:tcPr>
            <w:tcW w:w="325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负面评价【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】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不符情形说明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eastAsia="zh-CN"/>
        </w:rPr>
        <w:t>填表说明：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[ ]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eastAsia="zh-CN"/>
        </w:rPr>
        <w:t>应当填写具体内容或者数值；【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eastAsia="zh-CN"/>
        </w:rPr>
        <w:t>】应当填写∨或者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×，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eastAsia="zh-CN"/>
        </w:rPr>
        <w:t>∨代表选定此项（部分根据情形可以多选）或者此项符合要求，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×代表此项存在不符情形，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eastAsia="zh-CN"/>
        </w:rPr>
        <w:t>例如：负面评价【∨】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表示符合要求（无负面评价）；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eastAsia="zh-CN"/>
        </w:rPr>
        <w:t>负面评价【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×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eastAsia="zh-CN"/>
        </w:rPr>
        <w:t>】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表示存在不符情形（有负面评价）；填写×的项目应当同时在“不符情形说明”对具体情形作出相应文字说明。</w:t>
      </w: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tabs>
        <w:tab w:val="left" w:pos="10779"/>
      </w:tabs>
      <w:kinsoku/>
      <w:wordWrap/>
      <w:overflowPunct/>
      <w:topLinePunct w:val="0"/>
      <w:autoSpaceDE/>
      <w:autoSpaceDN/>
      <w:bidi w:val="0"/>
      <w:adjustRightInd/>
      <w:snapToGrid w:val="0"/>
      <w:spacing w:line="240" w:lineRule="auto"/>
      <w:ind w:left="0" w:leftChars="0" w:right="0" w:rightChars="0" w:firstLine="0" w:firstLineChars="0"/>
      <w:jc w:val="both"/>
      <w:textAlignment w:val="auto"/>
      <w:outlineLvl w:val="9"/>
      <w:rPr>
        <w:rFonts w:hint="eastAsia" w:ascii="黑体" w:hAnsi="黑体" w:eastAsia="黑体" w:cs="黑体"/>
        <w:b w:val="0"/>
        <w:bCs w:val="0"/>
        <w:color w:val="auto"/>
        <w:sz w:val="21"/>
        <w:szCs w:val="21"/>
        <w:lang w:eastAsia="zh-CN"/>
      </w:rPr>
    </w:pPr>
    <w:r>
      <w:rPr>
        <w:rFonts w:hint="eastAsia" w:ascii="黑体" w:hAnsi="黑体" w:eastAsia="黑体" w:cs="黑体"/>
        <w:b w:val="0"/>
        <w:bCs w:val="0"/>
        <w:color w:val="auto"/>
        <w:sz w:val="21"/>
        <w:szCs w:val="21"/>
      </w:rPr>
      <w:t xml:space="preserve">检查组签名：                                        </w:t>
    </w:r>
    <w:r>
      <w:rPr>
        <w:rFonts w:hint="eastAsia" w:ascii="黑体" w:hAnsi="黑体" w:eastAsia="黑体" w:cs="黑体"/>
        <w:b w:val="0"/>
        <w:bCs w:val="0"/>
        <w:color w:val="auto"/>
        <w:sz w:val="21"/>
        <w:szCs w:val="21"/>
      </w:rPr>
      <w:tab/>
    </w:r>
    <w:r>
      <w:rPr>
        <w:rFonts w:hint="eastAsia" w:ascii="黑体" w:hAnsi="黑体" w:eastAsia="黑体" w:cs="黑体"/>
        <w:b w:val="0"/>
        <w:bCs w:val="0"/>
        <w:color w:val="auto"/>
        <w:sz w:val="21"/>
        <w:szCs w:val="21"/>
      </w:rPr>
      <w:tab/>
    </w:r>
    <w:r>
      <w:rPr>
        <w:rFonts w:hint="eastAsia" w:ascii="黑体" w:hAnsi="黑体" w:eastAsia="黑体" w:cs="黑体"/>
        <w:b w:val="0"/>
        <w:bCs w:val="0"/>
        <w:color w:val="auto"/>
        <w:sz w:val="21"/>
        <w:szCs w:val="21"/>
      </w:rPr>
      <w:t>日期：</w:t>
    </w:r>
    <w:r>
      <w:rPr>
        <w:rFonts w:hint="eastAsia" w:ascii="黑体" w:hAnsi="黑体" w:eastAsia="黑体" w:cs="黑体"/>
        <w:b w:val="0"/>
        <w:bCs w:val="0"/>
        <w:color w:val="auto"/>
        <w:sz w:val="21"/>
        <w:szCs w:val="21"/>
        <w:lang w:val="en-US" w:eastAsia="zh-CN"/>
      </w:rPr>
      <w:t xml:space="preserve">       </w:t>
    </w:r>
    <w:r>
      <w:rPr>
        <w:rFonts w:hint="eastAsia" w:ascii="黑体" w:hAnsi="黑体" w:eastAsia="黑体" w:cs="黑体"/>
        <w:b w:val="0"/>
        <w:bCs w:val="0"/>
        <w:color w:val="auto"/>
        <w:sz w:val="21"/>
        <w:szCs w:val="21"/>
        <w:lang w:eastAsia="zh-CN"/>
      </w:rPr>
      <w:t>年</w:t>
    </w:r>
    <w:r>
      <w:rPr>
        <w:rFonts w:hint="eastAsia" w:ascii="黑体" w:hAnsi="黑体" w:eastAsia="黑体" w:cs="黑体"/>
        <w:b w:val="0"/>
        <w:bCs w:val="0"/>
        <w:color w:val="auto"/>
        <w:sz w:val="21"/>
        <w:szCs w:val="21"/>
        <w:lang w:val="en-US" w:eastAsia="zh-CN"/>
      </w:rPr>
      <w:t xml:space="preserve">   </w:t>
    </w:r>
    <w:r>
      <w:rPr>
        <w:rFonts w:hint="eastAsia" w:ascii="黑体" w:hAnsi="黑体" w:eastAsia="黑体" w:cs="黑体"/>
        <w:b w:val="0"/>
        <w:bCs w:val="0"/>
        <w:color w:val="auto"/>
        <w:sz w:val="21"/>
        <w:szCs w:val="21"/>
        <w:lang w:eastAsia="zh-CN"/>
      </w:rPr>
      <w:t>月</w:t>
    </w:r>
    <w:r>
      <w:rPr>
        <w:rFonts w:hint="eastAsia" w:ascii="黑体" w:hAnsi="黑体" w:eastAsia="黑体" w:cs="黑体"/>
        <w:b w:val="0"/>
        <w:bCs w:val="0"/>
        <w:color w:val="auto"/>
        <w:sz w:val="21"/>
        <w:szCs w:val="21"/>
        <w:lang w:val="en-US" w:eastAsia="zh-CN"/>
      </w:rPr>
      <w:t xml:space="preserve">   </w:t>
    </w:r>
    <w:r>
      <w:rPr>
        <w:rFonts w:hint="eastAsia" w:ascii="黑体" w:hAnsi="黑体" w:eastAsia="黑体" w:cs="黑体"/>
        <w:b w:val="0"/>
        <w:bCs w:val="0"/>
        <w:color w:val="auto"/>
        <w:sz w:val="21"/>
        <w:szCs w:val="21"/>
        <w:lang w:eastAsia="zh-CN"/>
      </w:rPr>
      <w:t>日</w:t>
    </w:r>
  </w:p>
  <w:p>
    <w:pPr>
      <w:keepNext w:val="0"/>
      <w:keepLines w:val="0"/>
      <w:pageBreakBefore w:val="0"/>
      <w:widowControl w:val="0"/>
      <w:tabs>
        <w:tab w:val="left" w:pos="10779"/>
      </w:tabs>
      <w:kinsoku/>
      <w:wordWrap/>
      <w:overflowPunct/>
      <w:topLinePunct w:val="0"/>
      <w:autoSpaceDE/>
      <w:autoSpaceDN/>
      <w:bidi w:val="0"/>
      <w:adjustRightInd/>
      <w:snapToGrid w:val="0"/>
      <w:spacing w:line="240" w:lineRule="auto"/>
      <w:ind w:left="0" w:leftChars="0" w:right="0" w:rightChars="0" w:firstLine="0" w:firstLineChars="0"/>
      <w:jc w:val="both"/>
      <w:textAlignment w:val="auto"/>
      <w:outlineLvl w:val="9"/>
      <w:rPr>
        <w:rFonts w:hint="eastAsia" w:ascii="仿宋" w:hAnsi="仿宋" w:eastAsia="仿宋" w:cs="仿宋"/>
        <w:b/>
        <w:bCs/>
        <w:sz w:val="21"/>
        <w:szCs w:val="21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hyphenationZone w:val="36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422C5"/>
    <w:rsid w:val="04115699"/>
    <w:rsid w:val="05150FBB"/>
    <w:rsid w:val="051F2381"/>
    <w:rsid w:val="079540F9"/>
    <w:rsid w:val="0A8342D5"/>
    <w:rsid w:val="0EAA1D9D"/>
    <w:rsid w:val="0F4265FB"/>
    <w:rsid w:val="0F434BEB"/>
    <w:rsid w:val="112602EA"/>
    <w:rsid w:val="11B55556"/>
    <w:rsid w:val="12F7609E"/>
    <w:rsid w:val="13D40981"/>
    <w:rsid w:val="13F77FA7"/>
    <w:rsid w:val="14580978"/>
    <w:rsid w:val="15845909"/>
    <w:rsid w:val="159A21E3"/>
    <w:rsid w:val="15D85E6D"/>
    <w:rsid w:val="16530DB5"/>
    <w:rsid w:val="17A14D9F"/>
    <w:rsid w:val="17D142F9"/>
    <w:rsid w:val="19D34016"/>
    <w:rsid w:val="1D391A71"/>
    <w:rsid w:val="1E1C2C91"/>
    <w:rsid w:val="1EA136DE"/>
    <w:rsid w:val="217C034C"/>
    <w:rsid w:val="241127EC"/>
    <w:rsid w:val="243578F0"/>
    <w:rsid w:val="24B758EB"/>
    <w:rsid w:val="25C80AA9"/>
    <w:rsid w:val="277E2745"/>
    <w:rsid w:val="289B596F"/>
    <w:rsid w:val="28DB055D"/>
    <w:rsid w:val="29C35721"/>
    <w:rsid w:val="29E971BF"/>
    <w:rsid w:val="2A6926DD"/>
    <w:rsid w:val="2BCC49FF"/>
    <w:rsid w:val="2D433AB2"/>
    <w:rsid w:val="2E6B39A6"/>
    <w:rsid w:val="2F005B91"/>
    <w:rsid w:val="2F557E05"/>
    <w:rsid w:val="30CE644C"/>
    <w:rsid w:val="32283C9E"/>
    <w:rsid w:val="326422C5"/>
    <w:rsid w:val="37E95478"/>
    <w:rsid w:val="39D644FA"/>
    <w:rsid w:val="3A7A56EF"/>
    <w:rsid w:val="3D863ADD"/>
    <w:rsid w:val="3ED1588C"/>
    <w:rsid w:val="40A65F37"/>
    <w:rsid w:val="40C34197"/>
    <w:rsid w:val="41100A88"/>
    <w:rsid w:val="44955DD0"/>
    <w:rsid w:val="458C6A07"/>
    <w:rsid w:val="45A818B4"/>
    <w:rsid w:val="4615393D"/>
    <w:rsid w:val="47165E6A"/>
    <w:rsid w:val="47691812"/>
    <w:rsid w:val="47EC3DC7"/>
    <w:rsid w:val="481B09EA"/>
    <w:rsid w:val="48823636"/>
    <w:rsid w:val="4B364D3F"/>
    <w:rsid w:val="4C1E30F6"/>
    <w:rsid w:val="4D5239E3"/>
    <w:rsid w:val="4D9F644A"/>
    <w:rsid w:val="4EC944CE"/>
    <w:rsid w:val="50101EE6"/>
    <w:rsid w:val="504F1464"/>
    <w:rsid w:val="50581BBE"/>
    <w:rsid w:val="52165B93"/>
    <w:rsid w:val="54162D88"/>
    <w:rsid w:val="54F45628"/>
    <w:rsid w:val="55096474"/>
    <w:rsid w:val="551E5F94"/>
    <w:rsid w:val="563551CA"/>
    <w:rsid w:val="56B25647"/>
    <w:rsid w:val="57914AC3"/>
    <w:rsid w:val="5793699C"/>
    <w:rsid w:val="57AA2AC2"/>
    <w:rsid w:val="5A7D6D93"/>
    <w:rsid w:val="5A927190"/>
    <w:rsid w:val="5A9C246E"/>
    <w:rsid w:val="5AC1472B"/>
    <w:rsid w:val="5B3E7835"/>
    <w:rsid w:val="5B5470BF"/>
    <w:rsid w:val="5C902683"/>
    <w:rsid w:val="5E0E33F1"/>
    <w:rsid w:val="5E484A00"/>
    <w:rsid w:val="61132AE1"/>
    <w:rsid w:val="638C20C0"/>
    <w:rsid w:val="63B06A5E"/>
    <w:rsid w:val="673F5604"/>
    <w:rsid w:val="682B32D9"/>
    <w:rsid w:val="693131B5"/>
    <w:rsid w:val="699D051F"/>
    <w:rsid w:val="6B5933F9"/>
    <w:rsid w:val="6F40449A"/>
    <w:rsid w:val="70A5255B"/>
    <w:rsid w:val="72EA348B"/>
    <w:rsid w:val="7376506E"/>
    <w:rsid w:val="73A23A8D"/>
    <w:rsid w:val="742B4172"/>
    <w:rsid w:val="744F7A0F"/>
    <w:rsid w:val="75BD1085"/>
    <w:rsid w:val="769A5160"/>
    <w:rsid w:val="77812BFB"/>
    <w:rsid w:val="78EE5126"/>
    <w:rsid w:val="7AC402A6"/>
    <w:rsid w:val="7B181D08"/>
    <w:rsid w:val="7C0475B0"/>
    <w:rsid w:val="7C6C5169"/>
    <w:rsid w:val="7D2F0625"/>
    <w:rsid w:val="7D6F3888"/>
    <w:rsid w:val="7ECF43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customStyle="1" w:styleId="7">
    <w:name w:val="普通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2019-04-03T02:24:00Z</dcterms:created>
  <dc:creator>局领导 谭海滨</dc:creator>
  <cp:lastModifiedBy>卷卷</cp:lastModifiedBy>
  <cp:lastPrinted>2019-04-03T09:01:04Z</cp:lastPrinted>
  <dcterms:modified xsi:type="dcterms:W3CDTF">2019-11-14T08:48:15Z</dcterms:modified>
  <dc:title>施工项目中标后跟踪监督检查表（2）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